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40C" w14:textId="590164F3" w:rsidR="00000000" w:rsidRPr="00E31B4B" w:rsidRDefault="00000000" w:rsidP="00E31B4B">
      <w:pPr>
        <w:spacing w:line="140" w:lineRule="atLeast"/>
        <w:divId w:val="27534002"/>
        <w:rPr>
          <w:rFonts w:ascii="Arial Narrow" w:eastAsia="Times New Roman" w:hAnsi="Arial Narrow"/>
          <w:color w:val="000000"/>
          <w:sz w:val="14"/>
          <w:szCs w:val="14"/>
        </w:rPr>
      </w:pPr>
      <w:r w:rsidRPr="00E31B4B">
        <w:rPr>
          <w:rFonts w:ascii="Arial Narrow" w:eastAsia="Times New Roman" w:hAnsi="Arial Narrow"/>
          <w:b/>
          <w:bCs/>
          <w:color w:val="000000"/>
          <w:sz w:val="14"/>
          <w:szCs w:val="14"/>
        </w:rPr>
        <w:t xml:space="preserve">Pregunta: </w:t>
      </w:r>
      <w:r w:rsidRPr="00E31B4B">
        <w:rPr>
          <w:rFonts w:ascii="Arial Narrow" w:eastAsia="Times New Roman" w:hAnsi="Arial Narrow"/>
          <w:color w:val="000000"/>
          <w:sz w:val="14"/>
          <w:szCs w:val="14"/>
        </w:rPr>
        <w:t>Beta-bloqueadores comparado con no beta-bloqueadores en adultos con insuficiencia cardíaca y enfermedad pulmonar obstructiva crónica</w:t>
      </w: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727"/>
        <w:gridCol w:w="872"/>
        <w:gridCol w:w="1018"/>
        <w:gridCol w:w="1019"/>
        <w:gridCol w:w="1019"/>
        <w:gridCol w:w="1019"/>
        <w:gridCol w:w="1601"/>
        <w:gridCol w:w="1357"/>
        <w:gridCol w:w="1554"/>
        <w:gridCol w:w="702"/>
        <w:gridCol w:w="752"/>
        <w:gridCol w:w="1455"/>
        <w:gridCol w:w="1455"/>
      </w:tblGrid>
      <w:tr w:rsidR="00000000" w14:paraId="248A9FCE" w14:textId="77777777">
        <w:trPr>
          <w:divId w:val="1594624632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09DFC" w14:textId="77777777" w:rsidR="00000000" w:rsidRDefault="0000000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Evaluación de certeza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98D0F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de pacientes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56159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Efecto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4788F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Certeza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1EF00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Importancia</w:t>
            </w:r>
          </w:p>
        </w:tc>
      </w:tr>
      <w:tr w:rsidR="00000000" w14:paraId="04384971" w14:textId="77777777">
        <w:trPr>
          <w:divId w:val="1594624632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15C47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№ de estudios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E03B6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Diseño de estudio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11098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Riesgo de sesgo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668E3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Inconsistencia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2CC37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Evidencia indirecta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14EA4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Imprecisión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2E2AB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 xml:space="preserve">Otras consideraciones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E5B9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beta-bloqueadores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D774B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no beta-bloqueadores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654BE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Relativo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DF31D" w14:textId="77777777" w:rsidR="00000000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Absoluto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D945D33" w14:textId="77777777" w:rsidR="00000000" w:rsidRDefault="0000000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FC85A2D" w14:textId="77777777" w:rsidR="00000000" w:rsidRDefault="00000000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000000" w14:paraId="2FDC19A8" w14:textId="77777777">
        <w:trPr>
          <w:divId w:val="159462463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E662666" w14:textId="77777777" w:rsidR="00000000" w:rsidRDefault="00000000">
            <w:pPr>
              <w:divId w:val="87215818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Muerte cardiovascular y hospitalizaciones totales por insuficiencia cardíaca. (seguimiento: mediana 2.5 años )</w:t>
            </w:r>
          </w:p>
        </w:tc>
      </w:tr>
      <w:tr w:rsidR="00000000" w14:paraId="7124EA59" w14:textId="77777777">
        <w:trPr>
          <w:divId w:val="159462463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10C96" w14:textId="77777777" w:rsidR="00000000" w:rsidRDefault="00000000">
            <w:pPr>
              <w:jc w:val="center"/>
              <w:divId w:val="186924920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CA611" w14:textId="77777777" w:rsidR="00000000" w:rsidRDefault="00000000">
            <w:pPr>
              <w:jc w:val="center"/>
              <w:divId w:val="67384539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estudios observacionales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BB044" w14:textId="77777777" w:rsidR="00000000" w:rsidRDefault="00000000">
            <w:pPr>
              <w:jc w:val="center"/>
              <w:divId w:val="657264887"/>
              <w:rPr>
                <w:rFonts w:ascii="Arial Narrow" w:eastAsia="Times New Roman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eastAsia="Times New Roman" w:hAnsi="Arial Narrow"/>
                <w:sz w:val="13"/>
                <w:szCs w:val="13"/>
              </w:rPr>
              <w:t>serio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61597" w14:textId="77777777" w:rsidR="00000000" w:rsidRDefault="00000000">
            <w:pPr>
              <w:jc w:val="center"/>
              <w:divId w:val="169299425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7297B" w14:textId="77777777" w:rsidR="00000000" w:rsidRDefault="00000000">
            <w:pPr>
              <w:jc w:val="center"/>
              <w:divId w:val="92198364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F358B" w14:textId="77777777" w:rsidR="00000000" w:rsidRDefault="00000000">
            <w:pPr>
              <w:jc w:val="center"/>
              <w:divId w:val="160800102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1AA" w14:textId="77777777" w:rsidR="00000000" w:rsidRDefault="00000000">
            <w:pPr>
              <w:jc w:val="center"/>
              <w:divId w:val="120082643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ninguno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93B21" w14:textId="77777777" w:rsidR="00000000" w:rsidRDefault="00000000">
            <w:pPr>
              <w:divId w:val="105061427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Betabloqueadores: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4.650 participantes.</w:t>
            </w:r>
          </w:p>
          <w:p w14:paraId="4E1E28B2" w14:textId="77777777" w:rsidR="00000000" w:rsidRDefault="00000000">
            <w:pPr>
              <w:divId w:val="14236034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Sin betabloqueadores: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434 participantes</w:t>
            </w:r>
          </w:p>
          <w:p w14:paraId="760C07FB" w14:textId="77777777" w:rsidR="00000000" w:rsidRDefault="00000000">
            <w:pPr>
              <w:divId w:val="34532815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Efecto relativo: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razón de tasas 0,74 (IC95% 0,58–0,96)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B27C9" w14:textId="77777777" w:rsidR="00000000" w:rsidRDefault="00000000">
            <w:pPr>
              <w:jc w:val="center"/>
              <w:divId w:val="13311803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proofErr w:type="spellStart"/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Moderado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30BF" w14:textId="77777777" w:rsidR="00000000" w:rsidRDefault="00000000">
            <w:pPr>
              <w:jc w:val="center"/>
              <w:divId w:val="198654332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CRÍTICO</w:t>
            </w:r>
          </w:p>
        </w:tc>
      </w:tr>
      <w:tr w:rsidR="00000000" w14:paraId="0665B1DA" w14:textId="77777777">
        <w:trPr>
          <w:divId w:val="1594624632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03F45CE" w14:textId="77777777" w:rsidR="00000000" w:rsidRDefault="00000000">
            <w:pPr>
              <w:divId w:val="181082661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Exacerbaciones graves totales de EPOC (seguimiento: mediana 2.5 años )</w:t>
            </w:r>
          </w:p>
        </w:tc>
      </w:tr>
      <w:tr w:rsidR="00000000" w14:paraId="6A9D7D76" w14:textId="77777777">
        <w:trPr>
          <w:divId w:val="1594624632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4ACA6" w14:textId="77777777" w:rsidR="00000000" w:rsidRDefault="00000000">
            <w:pPr>
              <w:jc w:val="center"/>
              <w:divId w:val="79915382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01579" w14:textId="77777777" w:rsidR="00000000" w:rsidRDefault="00000000">
            <w:pPr>
              <w:jc w:val="center"/>
              <w:divId w:val="90630527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estudios observacionales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4B380" w14:textId="77777777" w:rsidR="00000000" w:rsidRDefault="00000000">
            <w:pPr>
              <w:jc w:val="center"/>
              <w:divId w:val="511267078"/>
              <w:rPr>
                <w:rFonts w:ascii="Arial Narrow" w:eastAsia="Times New Roman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eastAsia="Times New Roman" w:hAnsi="Arial Narrow"/>
                <w:sz w:val="13"/>
                <w:szCs w:val="13"/>
              </w:rPr>
              <w:t>serio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70898" w14:textId="77777777" w:rsidR="00000000" w:rsidRDefault="00000000">
            <w:pPr>
              <w:jc w:val="center"/>
              <w:divId w:val="19596017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199EB" w14:textId="77777777" w:rsidR="00000000" w:rsidRDefault="00000000">
            <w:pPr>
              <w:jc w:val="center"/>
              <w:divId w:val="17089423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no es serio 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A9906" w14:textId="77777777" w:rsidR="00000000" w:rsidRDefault="00000000">
            <w:pPr>
              <w:jc w:val="center"/>
              <w:divId w:val="499390992"/>
              <w:rPr>
                <w:rFonts w:ascii="Arial Narrow" w:eastAsia="Times New Roman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eastAsia="Times New Roman" w:hAnsi="Arial Narrow"/>
                <w:sz w:val="13"/>
                <w:szCs w:val="13"/>
              </w:rPr>
              <w:t>serio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D4E0E" w14:textId="77777777" w:rsidR="00000000" w:rsidRDefault="00000000">
            <w:pPr>
              <w:jc w:val="center"/>
              <w:divId w:val="204571381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ninguno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BF883" w14:textId="77777777" w:rsidR="00E31B4B" w:rsidRDefault="00000000">
            <w:pPr>
              <w:divId w:val="5077912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Betabloqueadores: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4.650</w:t>
            </w:r>
          </w:p>
          <w:p w14:paraId="666D0CA1" w14:textId="77777777" w:rsidR="00E31B4B" w:rsidRDefault="00000000">
            <w:pPr>
              <w:divId w:val="5077912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Sin betabloqueadores: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434</w:t>
            </w:r>
          </w:p>
          <w:p w14:paraId="22F81E85" w14:textId="166972FD" w:rsidR="00000000" w:rsidRDefault="00000000">
            <w:pPr>
              <w:divId w:val="5077912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Razón de tasas: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 0,99 (IC95% 0,73–1,35)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786F8" w14:textId="77777777" w:rsidR="00000000" w:rsidRDefault="00000000">
            <w:pPr>
              <w:jc w:val="center"/>
              <w:divId w:val="7494711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proofErr w:type="spellStart"/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Baja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  <w:r>
              <w:rPr>
                <w:rStyle w:val="comma"/>
                <w:rFonts w:ascii="Arial Narrow" w:eastAsia="Times New Roman" w:hAnsi="Arial Narrow"/>
                <w:sz w:val="13"/>
                <w:szCs w:val="13"/>
                <w:vertAlign w:val="superscript"/>
              </w:rPr>
              <w:t>,</w:t>
            </w:r>
            <w:r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1A9D7" w14:textId="77777777" w:rsidR="00000000" w:rsidRDefault="00000000">
            <w:pPr>
              <w:jc w:val="center"/>
              <w:divId w:val="8442386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CRÍTICO</w:t>
            </w:r>
          </w:p>
        </w:tc>
      </w:tr>
    </w:tbl>
    <w:p w14:paraId="36E30856" w14:textId="77777777" w:rsidR="00000000" w:rsidRPr="00E31B4B" w:rsidRDefault="00000000">
      <w:pPr>
        <w:pStyle w:val="NormalWeb"/>
        <w:spacing w:line="140" w:lineRule="atLeast"/>
        <w:divId w:val="1594624632"/>
        <w:rPr>
          <w:rFonts w:ascii="Arial Narrow" w:hAnsi="Arial Narrow"/>
          <w:color w:val="000000"/>
          <w:sz w:val="14"/>
          <w:szCs w:val="14"/>
        </w:rPr>
      </w:pPr>
      <w:r w:rsidRPr="00E31B4B">
        <w:rPr>
          <w:rFonts w:ascii="Arial Narrow" w:hAnsi="Arial Narrow"/>
          <w:b/>
          <w:bCs/>
          <w:color w:val="000000"/>
          <w:sz w:val="14"/>
          <w:szCs w:val="14"/>
        </w:rPr>
        <w:t>CI:</w:t>
      </w:r>
      <w:r w:rsidRPr="00E31B4B">
        <w:rPr>
          <w:rFonts w:ascii="Arial Narrow" w:hAnsi="Arial Narrow"/>
          <w:color w:val="000000"/>
          <w:sz w:val="14"/>
          <w:szCs w:val="14"/>
        </w:rPr>
        <w:t xml:space="preserve"> Intervalo de confianza ; </w:t>
      </w:r>
      <w:r w:rsidRPr="00E31B4B">
        <w:rPr>
          <w:rFonts w:ascii="Arial Narrow" w:hAnsi="Arial Narrow"/>
          <w:b/>
          <w:bCs/>
          <w:color w:val="000000"/>
          <w:sz w:val="14"/>
          <w:szCs w:val="14"/>
        </w:rPr>
        <w:t>RR:</w:t>
      </w:r>
      <w:r w:rsidRPr="00E31B4B">
        <w:rPr>
          <w:rFonts w:ascii="Arial Narrow" w:hAnsi="Arial Narrow"/>
          <w:color w:val="000000"/>
          <w:sz w:val="14"/>
          <w:szCs w:val="14"/>
        </w:rPr>
        <w:t xml:space="preserve"> Razón de riesgo</w:t>
      </w:r>
    </w:p>
    <w:p w14:paraId="3EC3975F" w14:textId="77777777" w:rsidR="00000000" w:rsidRPr="00E31B4B" w:rsidRDefault="00000000">
      <w:pPr>
        <w:pStyle w:val="Ttulo4"/>
        <w:spacing w:line="140" w:lineRule="atLeast"/>
        <w:rPr>
          <w:rFonts w:ascii="Arial Narrow" w:eastAsia="Times New Roman" w:hAnsi="Arial Narrow"/>
          <w:color w:val="000000"/>
        </w:rPr>
      </w:pPr>
      <w:r w:rsidRPr="00E31B4B">
        <w:rPr>
          <w:rFonts w:ascii="Arial Narrow" w:eastAsia="Times New Roman" w:hAnsi="Arial Narrow"/>
          <w:color w:val="000000"/>
        </w:rPr>
        <w:t xml:space="preserve">Explicaciones </w:t>
      </w:r>
    </w:p>
    <w:p w14:paraId="7092DFF7" w14:textId="77777777" w:rsidR="00000000" w:rsidRPr="00E31B4B" w:rsidRDefault="00000000">
      <w:pPr>
        <w:spacing w:line="140" w:lineRule="atLeast"/>
        <w:divId w:val="857159103"/>
        <w:rPr>
          <w:rFonts w:ascii="Arial Narrow" w:eastAsia="Times New Roman" w:hAnsi="Arial Narrow"/>
          <w:color w:val="000000"/>
          <w:sz w:val="14"/>
          <w:szCs w:val="14"/>
        </w:rPr>
      </w:pPr>
      <w:r w:rsidRPr="00E31B4B">
        <w:rPr>
          <w:rFonts w:ascii="Arial Narrow" w:eastAsia="Times New Roman" w:hAnsi="Arial Narrow"/>
          <w:color w:val="000000"/>
          <w:sz w:val="14"/>
          <w:szCs w:val="14"/>
        </w:rPr>
        <w:t>a. El estudio presentó riesgo de sesgo moderado mediante ROBINS-I, principalmente por posible confusión residual, clasificación de la exposición únicamente en la visita inicial y ausencia de información sobre cambios posteriores del tratamiento</w:t>
      </w:r>
    </w:p>
    <w:p w14:paraId="4DA6F95F" w14:textId="77777777" w:rsidR="00A90171" w:rsidRPr="00E31B4B" w:rsidRDefault="00000000">
      <w:pPr>
        <w:spacing w:line="140" w:lineRule="atLeast"/>
        <w:divId w:val="150757092"/>
        <w:rPr>
          <w:rFonts w:ascii="Arial Narrow" w:eastAsia="Times New Roman" w:hAnsi="Arial Narrow"/>
          <w:color w:val="000000"/>
          <w:sz w:val="14"/>
          <w:szCs w:val="14"/>
        </w:rPr>
      </w:pPr>
      <w:r w:rsidRPr="00E31B4B">
        <w:rPr>
          <w:rFonts w:ascii="Arial Narrow" w:eastAsia="Times New Roman" w:hAnsi="Arial Narrow"/>
          <w:color w:val="000000"/>
          <w:sz w:val="14"/>
          <w:szCs w:val="14"/>
        </w:rPr>
        <w:t xml:space="preserve">b. El IC95% de la razón de </w:t>
      </w:r>
      <w:proofErr w:type="spellStart"/>
      <w:r w:rsidRPr="00E31B4B">
        <w:rPr>
          <w:rFonts w:ascii="Arial Narrow" w:eastAsia="Times New Roman" w:hAnsi="Arial Narrow"/>
          <w:color w:val="000000"/>
          <w:sz w:val="14"/>
          <w:szCs w:val="14"/>
        </w:rPr>
        <w:t>tasas,incluyó</w:t>
      </w:r>
      <w:proofErr w:type="spellEnd"/>
      <w:r w:rsidRPr="00E31B4B">
        <w:rPr>
          <w:rFonts w:ascii="Arial Narrow" w:eastAsia="Times New Roman" w:hAnsi="Arial Narrow"/>
          <w:color w:val="000000"/>
          <w:sz w:val="14"/>
          <w:szCs w:val="14"/>
        </w:rPr>
        <w:t xml:space="preserve"> el valor nulo y fue compatible tanto con una reducción del 27% como con un aumento del 35% en la tasa de exacerbaciones graves, sin permitir excluir beneficio o daño clínicamente relevantes.</w:t>
      </w:r>
    </w:p>
    <w:sectPr w:rsidR="00A90171" w:rsidRPr="00E31B4B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8CE"/>
    <w:rsid w:val="00000C3F"/>
    <w:rsid w:val="00A808CE"/>
    <w:rsid w:val="00A90171"/>
    <w:rsid w:val="00E3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BB7B83"/>
  <w15:docId w15:val="{23E1C9D6-2F4E-4ABE-B545-025DF407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Pr>
      <w:rFonts w:ascii="Times New Roman" w:hAnsi="Times New Roman" w:cs="Times New Roman"/>
      <w:b/>
      <w:bCs/>
      <w:kern w:val="0"/>
    </w:rPr>
  </w:style>
  <w:style w:type="character" w:customStyle="1" w:styleId="label">
    <w:name w:val="label"/>
    <w:basedOn w:val="Fuentedeprrafopredeter"/>
  </w:style>
  <w:style w:type="character" w:customStyle="1" w:styleId="quality-sign">
    <w:name w:val="quality-sign"/>
    <w:basedOn w:val="Fuentedeprrafopredeter"/>
  </w:style>
  <w:style w:type="character" w:customStyle="1" w:styleId="quality-text">
    <w:name w:val="quality-text"/>
    <w:basedOn w:val="Fuentedeprrafopredeter"/>
  </w:style>
  <w:style w:type="character" w:customStyle="1" w:styleId="comma">
    <w:name w:val="comma"/>
    <w:basedOn w:val="Fuentedeprrafopredeter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2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David Cruz Cuevas</cp:lastModifiedBy>
  <cp:revision>2</cp:revision>
  <dcterms:created xsi:type="dcterms:W3CDTF">2026-08-13T05:28:00Z</dcterms:created>
  <dcterms:modified xsi:type="dcterms:W3CDTF">2026-08-13T05:29:00Z</dcterms:modified>
</cp:coreProperties>
</file>