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EDEE" w14:textId="77777777" w:rsidR="003B2231" w:rsidRPr="00C66A0E" w:rsidRDefault="00000000">
      <w:pPr>
        <w:pStyle w:val="Ttulo"/>
        <w:rPr>
          <w:lang w:val="es-CO"/>
        </w:rPr>
      </w:pPr>
      <w:r w:rsidRPr="00C66A0E">
        <w:rPr>
          <w:lang w:val="es-CO"/>
        </w:rPr>
        <w:t>Anexo 1. Evaluación del riesgo de sesgo mediante ROBINS-I</w:t>
      </w:r>
    </w:p>
    <w:p w14:paraId="020B7DD6" w14:textId="77777777" w:rsidR="003B2231" w:rsidRDefault="00000000">
      <w:pPr>
        <w:spacing w:after="160"/>
      </w:pPr>
      <w:r w:rsidRPr="00C66A0E">
        <w:rPr>
          <w:b/>
          <w:lang w:val="es-CO"/>
        </w:rPr>
        <w:t xml:space="preserve">Estudio evaluado: </w:t>
      </w:r>
      <w:r w:rsidRPr="00C66A0E">
        <w:rPr>
          <w:lang w:val="es-CO"/>
        </w:rPr>
        <w:t xml:space="preserve">Beer BN, Benson L, Basile C, et al. </w:t>
      </w:r>
      <w:r>
        <w:t>European Journal of Heart Failure. 2025;27:2858–2868.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3B2231" w:rsidRPr="00C66A0E" w14:paraId="4C8EF7F2" w14:textId="77777777">
        <w:trPr>
          <w:jc w:val="center"/>
        </w:trPr>
        <w:tc>
          <w:tcPr>
            <w:tcW w:w="5112" w:type="dxa"/>
            <w:shd w:val="clear" w:color="auto" w:fill="D98E0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E71AF7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</w:rPr>
              <w:t>JUICIO GLOBAL</w:t>
            </w:r>
          </w:p>
        </w:tc>
        <w:tc>
          <w:tcPr>
            <w:tcW w:w="5112" w:type="dxa"/>
            <w:shd w:val="clear" w:color="auto" w:fill="FFF2C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022D40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b/>
                <w:color w:val="183B56"/>
                <w:lang w:val="es-CO"/>
              </w:rPr>
              <w:t>Riesgo de sesgo MODERADO para los dos desenlaces críticos</w:t>
            </w:r>
          </w:p>
        </w:tc>
      </w:tr>
    </w:tbl>
    <w:p w14:paraId="23CAD6F5" w14:textId="77777777" w:rsidR="003B2231" w:rsidRPr="00C66A0E" w:rsidRDefault="00000000">
      <w:pPr>
        <w:pStyle w:val="Ttulo1"/>
        <w:rPr>
          <w:lang w:val="es-CO"/>
        </w:rPr>
      </w:pPr>
      <w:r w:rsidRPr="00C66A0E">
        <w:rPr>
          <w:lang w:val="es-CO"/>
        </w:rPr>
        <w:t>1. Alcance de la evaluación</w:t>
      </w:r>
    </w:p>
    <w:p w14:paraId="37A538E4" w14:textId="77777777" w:rsidR="003B2231" w:rsidRPr="00C66A0E" w:rsidRDefault="00000000">
      <w:pPr>
        <w:rPr>
          <w:lang w:val="es-CO"/>
        </w:rPr>
      </w:pPr>
      <w:r w:rsidRPr="00C66A0E">
        <w:rPr>
          <w:lang w:val="es-CO"/>
        </w:rPr>
        <w:t>ROBINS-I evalúa el riesgo de sesgo de resultados específicos de estudios no aleatorizados de intervenciones. Esta evaluación se aplicó por separado a los dos desenlaces críticos del Recado:</w:t>
      </w:r>
    </w:p>
    <w:p w14:paraId="58844C08" w14:textId="77777777" w:rsidR="003B2231" w:rsidRPr="00C66A0E" w:rsidRDefault="00000000">
      <w:pPr>
        <w:pStyle w:val="Listaconvietas"/>
        <w:spacing w:after="60"/>
        <w:rPr>
          <w:lang w:val="es-CO"/>
        </w:rPr>
      </w:pPr>
      <w:r w:rsidRPr="00C66A0E">
        <w:rPr>
          <w:b/>
          <w:lang w:val="es-CO"/>
        </w:rPr>
        <w:t xml:space="preserve">Efectividad cardiovascular: </w:t>
      </w:r>
      <w:r w:rsidRPr="00C66A0E">
        <w:rPr>
          <w:lang w:val="es-CO"/>
        </w:rPr>
        <w:t>muerte cardiovascular y hospitalizaciones totales por insuficiencia cardíaca.</w:t>
      </w:r>
    </w:p>
    <w:p w14:paraId="6665BA80" w14:textId="77777777" w:rsidR="003B2231" w:rsidRPr="00C66A0E" w:rsidRDefault="00000000">
      <w:pPr>
        <w:pStyle w:val="Listaconvietas"/>
        <w:spacing w:after="60"/>
        <w:rPr>
          <w:lang w:val="es-CO"/>
        </w:rPr>
      </w:pPr>
      <w:r w:rsidRPr="00C66A0E">
        <w:rPr>
          <w:b/>
          <w:lang w:val="es-CO"/>
        </w:rPr>
        <w:t xml:space="preserve">Seguridad respiratoria: </w:t>
      </w:r>
      <w:r w:rsidRPr="00C66A0E">
        <w:rPr>
          <w:lang w:val="es-CO"/>
        </w:rPr>
        <w:t>exacerbaciones graves totales de EPOC.</w:t>
      </w:r>
    </w:p>
    <w:p w14:paraId="67B0BA68" w14:textId="77777777" w:rsidR="003B2231" w:rsidRDefault="00000000">
      <w:pPr>
        <w:pStyle w:val="Ttulo1"/>
      </w:pPr>
      <w:r>
        <w:t>2. Ensayo hipotético objetivo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7200"/>
      </w:tblGrid>
      <w:tr w:rsidR="003B2231" w14:paraId="227F4E16" w14:textId="77777777">
        <w:trPr>
          <w:tblHeader/>
          <w:jc w:val="center"/>
        </w:trPr>
        <w:tc>
          <w:tcPr>
            <w:tcW w:w="5112" w:type="dxa"/>
            <w:shd w:val="clear" w:color="auto" w:fill="183B5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EC15EE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Elemento</w:t>
            </w:r>
          </w:p>
        </w:tc>
        <w:tc>
          <w:tcPr>
            <w:tcW w:w="5112" w:type="dxa"/>
            <w:shd w:val="clear" w:color="auto" w:fill="183B5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11FF63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Especificación</w:t>
            </w:r>
          </w:p>
        </w:tc>
      </w:tr>
      <w:tr w:rsidR="003B2231" w:rsidRPr="00C66A0E" w14:paraId="51CE0948" w14:textId="77777777">
        <w:trPr>
          <w:jc w:val="center"/>
        </w:trPr>
        <w:tc>
          <w:tcPr>
            <w:tcW w:w="28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E379A9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8"/>
              </w:rPr>
              <w:t>Población</w:t>
            </w:r>
          </w:p>
        </w:tc>
        <w:tc>
          <w:tcPr>
            <w:tcW w:w="72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BF0FCE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8"/>
                <w:lang w:val="es-CO"/>
              </w:rPr>
              <w:t>Adultos con IC-FEr (FEVI &lt;40%) y EPOC, elegibles para recibir un betabloqueador indicado para insuficiencia cardíaca.</w:t>
            </w:r>
          </w:p>
        </w:tc>
      </w:tr>
      <w:tr w:rsidR="003B2231" w:rsidRPr="00C66A0E" w14:paraId="331670E9" w14:textId="77777777">
        <w:trPr>
          <w:jc w:val="center"/>
        </w:trPr>
        <w:tc>
          <w:tcPr>
            <w:tcW w:w="28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46F8E1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8"/>
              </w:rPr>
              <w:t>Intervención</w:t>
            </w:r>
          </w:p>
        </w:tc>
        <w:tc>
          <w:tcPr>
            <w:tcW w:w="72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C6B4E5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8"/>
                <w:lang w:val="es-CO"/>
              </w:rPr>
              <w:t>Uso de un betabloqueador recomendado para insuficiencia cardíaca en la fecha índice.</w:t>
            </w:r>
          </w:p>
        </w:tc>
      </w:tr>
      <w:tr w:rsidR="003B2231" w:rsidRPr="00C66A0E" w14:paraId="0B1E5553" w14:textId="77777777">
        <w:trPr>
          <w:jc w:val="center"/>
        </w:trPr>
        <w:tc>
          <w:tcPr>
            <w:tcW w:w="28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F66B90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8"/>
              </w:rPr>
              <w:t>Comparador</w:t>
            </w:r>
          </w:p>
        </w:tc>
        <w:tc>
          <w:tcPr>
            <w:tcW w:w="72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897A1C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8"/>
                <w:lang w:val="es-CO"/>
              </w:rPr>
              <w:t>No uso de betabloqueador en la fecha índice.</w:t>
            </w:r>
          </w:p>
        </w:tc>
      </w:tr>
      <w:tr w:rsidR="003B2231" w:rsidRPr="00C66A0E" w14:paraId="691C1223" w14:textId="77777777">
        <w:trPr>
          <w:jc w:val="center"/>
        </w:trPr>
        <w:tc>
          <w:tcPr>
            <w:tcW w:w="28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BBF9C4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8"/>
              </w:rPr>
              <w:t>Efecto de interés</w:t>
            </w:r>
          </w:p>
        </w:tc>
        <w:tc>
          <w:tcPr>
            <w:tcW w:w="72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6998EA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8"/>
                <w:lang w:val="es-CO"/>
              </w:rPr>
              <w:t>Efecto de asignar y mantener la estrategia terapéutica durante el seguimiento. El estudio disponible aproxima principalmente el efecto del uso basal en usuarios prevalentes.</w:t>
            </w:r>
          </w:p>
        </w:tc>
      </w:tr>
      <w:tr w:rsidR="003B2231" w14:paraId="645494C5" w14:textId="77777777">
        <w:trPr>
          <w:jc w:val="center"/>
        </w:trPr>
        <w:tc>
          <w:tcPr>
            <w:tcW w:w="28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F0AD57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8"/>
              </w:rPr>
              <w:t>Seguimiento</w:t>
            </w:r>
          </w:p>
        </w:tc>
        <w:tc>
          <w:tcPr>
            <w:tcW w:w="72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36E0A2" w14:textId="77777777" w:rsidR="003B2231" w:rsidRDefault="00000000">
            <w:pPr>
              <w:spacing w:after="0" w:line="252" w:lineRule="auto"/>
            </w:pPr>
            <w:r>
              <w:rPr>
                <w:sz w:val="18"/>
              </w:rPr>
              <w:t>Hasta cinco años.</w:t>
            </w:r>
          </w:p>
        </w:tc>
      </w:tr>
      <w:tr w:rsidR="003B2231" w:rsidRPr="00C66A0E" w14:paraId="2224FD67" w14:textId="77777777">
        <w:trPr>
          <w:jc w:val="center"/>
        </w:trPr>
        <w:tc>
          <w:tcPr>
            <w:tcW w:w="28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DC3551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8"/>
              </w:rPr>
              <w:t>Desenlaces críticos</w:t>
            </w:r>
          </w:p>
        </w:tc>
        <w:tc>
          <w:tcPr>
            <w:tcW w:w="72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9F61F8B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8"/>
                <w:lang w:val="es-CO"/>
              </w:rPr>
              <w:t>Muerte cardiovascular y hospitalizaciones totales por insuficiencia cardíaca; exacerbaciones graves totales de EPOC.</w:t>
            </w:r>
          </w:p>
        </w:tc>
      </w:tr>
    </w:tbl>
    <w:p w14:paraId="001A0D19" w14:textId="77777777" w:rsidR="003B2231" w:rsidRDefault="00000000">
      <w:pPr>
        <w:pStyle w:val="Ttulo1"/>
      </w:pPr>
      <w:r>
        <w:t>3. Juicios por dominio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6"/>
        <w:gridCol w:w="2556"/>
        <w:gridCol w:w="3816"/>
        <w:gridCol w:w="3312"/>
      </w:tblGrid>
      <w:tr w:rsidR="003B2231" w14:paraId="7AD26408" w14:textId="77777777">
        <w:trPr>
          <w:tblHeader/>
          <w:jc w:val="center"/>
        </w:trPr>
        <w:tc>
          <w:tcPr>
            <w:tcW w:w="2556" w:type="dxa"/>
            <w:shd w:val="clear" w:color="auto" w:fill="183B5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751FCC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7"/>
              </w:rPr>
              <w:t>Dominio ROBINS-I</w:t>
            </w:r>
          </w:p>
        </w:tc>
        <w:tc>
          <w:tcPr>
            <w:tcW w:w="2556" w:type="dxa"/>
            <w:shd w:val="clear" w:color="auto" w:fill="183B5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5192ED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7"/>
              </w:rPr>
              <w:t>Juicio</w:t>
            </w:r>
          </w:p>
        </w:tc>
        <w:tc>
          <w:tcPr>
            <w:tcW w:w="2556" w:type="dxa"/>
            <w:shd w:val="clear" w:color="auto" w:fill="183B5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7E70B0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7"/>
              </w:rPr>
              <w:t>Preguntas que generaron preocupación</w:t>
            </w:r>
          </w:p>
        </w:tc>
        <w:tc>
          <w:tcPr>
            <w:tcW w:w="2556" w:type="dxa"/>
            <w:shd w:val="clear" w:color="auto" w:fill="183B5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B611B8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7"/>
              </w:rPr>
              <w:t>Fundamento del juicio</w:t>
            </w:r>
          </w:p>
        </w:tc>
      </w:tr>
      <w:tr w:rsidR="003B2231" w:rsidRPr="00C66A0E" w14:paraId="15FEA94E" w14:textId="77777777">
        <w:trPr>
          <w:jc w:val="center"/>
        </w:trPr>
        <w:tc>
          <w:tcPr>
            <w:tcW w:w="20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547CD7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6"/>
              </w:rPr>
              <w:t>1. Confusión</w:t>
            </w:r>
          </w:p>
        </w:tc>
        <w:tc>
          <w:tcPr>
            <w:tcW w:w="1512" w:type="dxa"/>
            <w:shd w:val="clear" w:color="auto" w:fill="FFF2C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4640B6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Moderado</w:t>
            </w:r>
          </w:p>
        </w:tc>
        <w:tc>
          <w:tcPr>
            <w:tcW w:w="3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2D62A7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>¿Permanecen confusores no medidos o medidos de forma incompleta después del ajuste?</w:t>
            </w:r>
          </w:p>
        </w:tc>
        <w:tc>
          <w:tcPr>
            <w:tcW w:w="331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2E8705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>Se ajustaron 45 covariables y se alcanzó equilibrio en las variables medidas. Aun así, no puede excluirse confusión residual por gravedad clínica no capturada, tolerancia previa, fragilidad, indicación y contraindicaciones al tratamiento.</w:t>
            </w:r>
          </w:p>
        </w:tc>
      </w:tr>
      <w:tr w:rsidR="003B2231" w14:paraId="55FFB87A" w14:textId="77777777">
        <w:trPr>
          <w:jc w:val="center"/>
        </w:trPr>
        <w:tc>
          <w:tcPr>
            <w:tcW w:w="20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B1CAAF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6"/>
              </w:rPr>
              <w:t>2. Selección de participantes</w:t>
            </w:r>
          </w:p>
        </w:tc>
        <w:tc>
          <w:tcPr>
            <w:tcW w:w="1512" w:type="dxa"/>
            <w:shd w:val="clear" w:color="auto" w:fill="C6E0B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B98200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Bajo</w:t>
            </w:r>
          </w:p>
        </w:tc>
        <w:tc>
          <w:tcPr>
            <w:tcW w:w="3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BD1F75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>¿La inclusión en la cohorte dependió conjuntamente de la exposición y del desenlace?</w:t>
            </w:r>
          </w:p>
        </w:tc>
        <w:tc>
          <w:tcPr>
            <w:tcW w:w="331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6C7CE2" w14:textId="77777777" w:rsidR="003B2231" w:rsidRDefault="00000000">
            <w:pPr>
              <w:spacing w:after="0" w:line="252" w:lineRule="auto"/>
            </w:pPr>
            <w:r w:rsidRPr="00C66A0E">
              <w:rPr>
                <w:sz w:val="16"/>
                <w:lang w:val="es-CO"/>
              </w:rPr>
              <w:t xml:space="preserve">La población se definió por registros de IC-FEr y EPOC antes del seguimiento. </w:t>
            </w:r>
            <w:r>
              <w:rPr>
                <w:sz w:val="16"/>
              </w:rPr>
              <w:t>No se identificó una selección condicionada a desenlaces posteriores.</w:t>
            </w:r>
          </w:p>
        </w:tc>
      </w:tr>
      <w:tr w:rsidR="003B2231" w:rsidRPr="00C66A0E" w14:paraId="68B95A6E" w14:textId="77777777">
        <w:trPr>
          <w:jc w:val="center"/>
        </w:trPr>
        <w:tc>
          <w:tcPr>
            <w:tcW w:w="20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54FA02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6"/>
              </w:rPr>
              <w:t>3. Clasificación de la intervención</w:t>
            </w:r>
          </w:p>
        </w:tc>
        <w:tc>
          <w:tcPr>
            <w:tcW w:w="1512" w:type="dxa"/>
            <w:shd w:val="clear" w:color="auto" w:fill="FFF2C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0808D4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Moderado</w:t>
            </w:r>
          </w:p>
        </w:tc>
        <w:tc>
          <w:tcPr>
            <w:tcW w:w="3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476849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>¿El uso basal representa adecuadamente la estrategia terapéutica durante todo el seguimiento?</w:t>
            </w:r>
          </w:p>
        </w:tc>
        <w:tc>
          <w:tcPr>
            <w:tcW w:w="331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7885FF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>El uso y la dosis se registraron en la visita índice. La clasificación basal fue clara, pero no informa continuidad, adherencia ni cambios posteriores.</w:t>
            </w:r>
          </w:p>
        </w:tc>
      </w:tr>
      <w:tr w:rsidR="003B2231" w14:paraId="19F039BF" w14:textId="77777777">
        <w:trPr>
          <w:jc w:val="center"/>
        </w:trPr>
        <w:tc>
          <w:tcPr>
            <w:tcW w:w="20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CF2327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6"/>
              </w:rPr>
              <w:t>4. Desviaciones de la intervención</w:t>
            </w:r>
          </w:p>
        </w:tc>
        <w:tc>
          <w:tcPr>
            <w:tcW w:w="1512" w:type="dxa"/>
            <w:shd w:val="clear" w:color="auto" w:fill="FFF2C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8445F2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Moderado</w:t>
            </w:r>
          </w:p>
        </w:tc>
        <w:tc>
          <w:tcPr>
            <w:tcW w:w="3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7BFFED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>¿Hubo inicios, suspensiones, cambios de molécula o dosis durante el seguimiento que no se incorporaron al análisis?</w:t>
            </w:r>
          </w:p>
        </w:tc>
        <w:tc>
          <w:tcPr>
            <w:tcW w:w="331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15E49E" w14:textId="77777777" w:rsidR="003B2231" w:rsidRDefault="00000000">
            <w:pPr>
              <w:spacing w:after="0" w:line="252" w:lineRule="auto"/>
            </w:pPr>
            <w:r w:rsidRPr="00C66A0E">
              <w:rPr>
                <w:sz w:val="16"/>
                <w:lang w:val="es-CO"/>
              </w:rPr>
              <w:t xml:space="preserve">El estudio no modeló el tratamiento como exposición variable en el tiempo. </w:t>
            </w:r>
            <w:r>
              <w:rPr>
                <w:sz w:val="16"/>
              </w:rPr>
              <w:t>Las desviaciones posteriores pudieron diluir o modificar las asociaciones.</w:t>
            </w:r>
          </w:p>
        </w:tc>
      </w:tr>
      <w:tr w:rsidR="003B2231" w:rsidRPr="00C66A0E" w14:paraId="79C8654C" w14:textId="77777777">
        <w:trPr>
          <w:jc w:val="center"/>
        </w:trPr>
        <w:tc>
          <w:tcPr>
            <w:tcW w:w="20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E41EA4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6"/>
              </w:rPr>
              <w:t>5. Datos faltantes</w:t>
            </w:r>
          </w:p>
        </w:tc>
        <w:tc>
          <w:tcPr>
            <w:tcW w:w="1512" w:type="dxa"/>
            <w:shd w:val="clear" w:color="auto" w:fill="FFF2C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7853A4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Moderado</w:t>
            </w:r>
          </w:p>
        </w:tc>
        <w:tc>
          <w:tcPr>
            <w:tcW w:w="3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2DA127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>¿La ausencia de covariables pudo afectar el ajuste?</w:t>
            </w:r>
          </w:p>
        </w:tc>
        <w:tc>
          <w:tcPr>
            <w:tcW w:w="331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8C488F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 xml:space="preserve">Los desenlaces procedían de registros nacionales y los datos faltantes de </w:t>
            </w:r>
            <w:r w:rsidRPr="00C66A0E">
              <w:rPr>
                <w:sz w:val="16"/>
                <w:lang w:val="es-CO"/>
              </w:rPr>
              <w:lastRenderedPageBreak/>
              <w:t>covariables se manejaron mediante imputación múltiple. Algunas variables clínicas presentaron ausencia relevante, por lo que persiste incertidumbre sobre el ajuste.</w:t>
            </w:r>
          </w:p>
        </w:tc>
      </w:tr>
      <w:tr w:rsidR="003B2231" w:rsidRPr="00C66A0E" w14:paraId="02019443" w14:textId="77777777">
        <w:trPr>
          <w:jc w:val="center"/>
        </w:trPr>
        <w:tc>
          <w:tcPr>
            <w:tcW w:w="20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E2FC2A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6"/>
              </w:rPr>
              <w:lastRenderedPageBreak/>
              <w:t>6. Medición de desenlaces</w:t>
            </w:r>
          </w:p>
        </w:tc>
        <w:tc>
          <w:tcPr>
            <w:tcW w:w="1512" w:type="dxa"/>
            <w:shd w:val="clear" w:color="auto" w:fill="FFF2C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F08BEE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Moderado</w:t>
            </w:r>
          </w:p>
        </w:tc>
        <w:tc>
          <w:tcPr>
            <w:tcW w:w="3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351DE7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>¿Los desenlaces específicos por causa fueron adjudicados de manera independiente y uniforme?</w:t>
            </w:r>
          </w:p>
        </w:tc>
        <w:tc>
          <w:tcPr>
            <w:tcW w:w="331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C8E4E2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>La muerte y las hospitalizaciones se identificaron mediante registros nacionales y códigos diagnósticos. La medición fue uniforme entre grupos, pero no hubo adjudicación clínica independiente; la EPOC tampoco fue confirmada mediante espirometría.</w:t>
            </w:r>
          </w:p>
        </w:tc>
      </w:tr>
      <w:tr w:rsidR="003B2231" w14:paraId="4D2B3DE8" w14:textId="77777777">
        <w:trPr>
          <w:jc w:val="center"/>
        </w:trPr>
        <w:tc>
          <w:tcPr>
            <w:tcW w:w="20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A17FDF" w14:textId="77777777" w:rsidR="003B2231" w:rsidRDefault="00000000">
            <w:pPr>
              <w:spacing w:after="0" w:line="252" w:lineRule="auto"/>
            </w:pPr>
            <w:r>
              <w:rPr>
                <w:b/>
                <w:color w:val="183B56"/>
                <w:sz w:val="16"/>
              </w:rPr>
              <w:t>7. Selección del resultado informado</w:t>
            </w:r>
          </w:p>
        </w:tc>
        <w:tc>
          <w:tcPr>
            <w:tcW w:w="1512" w:type="dxa"/>
            <w:shd w:val="clear" w:color="auto" w:fill="C6E0B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B343F6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Bajo</w:t>
            </w:r>
          </w:p>
        </w:tc>
        <w:tc>
          <w:tcPr>
            <w:tcW w:w="3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431CD2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6"/>
                <w:lang w:val="es-CO"/>
              </w:rPr>
              <w:t>¿Existen indicios de selección entre múltiples análisis o desenlaces disponibles?</w:t>
            </w:r>
          </w:p>
        </w:tc>
        <w:tc>
          <w:tcPr>
            <w:tcW w:w="331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B55FDB" w14:textId="77777777" w:rsidR="003B2231" w:rsidRDefault="00000000">
            <w:pPr>
              <w:spacing w:after="0" w:line="252" w:lineRule="auto"/>
            </w:pPr>
            <w:r w:rsidRPr="00C66A0E">
              <w:rPr>
                <w:sz w:val="16"/>
                <w:lang w:val="es-CO"/>
              </w:rPr>
              <w:t xml:space="preserve">Los desenlaces principales, secundarios y análisis de sensibilidad se describieron de forma consistente en el artículo y el suplemento. </w:t>
            </w:r>
            <w:r>
              <w:rPr>
                <w:sz w:val="16"/>
              </w:rPr>
              <w:t>No se identificaron discrepancias evidentes en lo revisado.</w:t>
            </w:r>
          </w:p>
        </w:tc>
      </w:tr>
    </w:tbl>
    <w:p w14:paraId="0EF2D5F6" w14:textId="77777777" w:rsidR="003B2231" w:rsidRDefault="00000000">
      <w:pPr>
        <w:pStyle w:val="Ttulo1"/>
      </w:pPr>
      <w:r>
        <w:t>4. Juicio por desenlace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3408"/>
        <w:gridCol w:w="5256"/>
      </w:tblGrid>
      <w:tr w:rsidR="003B2231" w14:paraId="7E6CEB10" w14:textId="77777777">
        <w:trPr>
          <w:tblHeader/>
          <w:jc w:val="center"/>
        </w:trPr>
        <w:tc>
          <w:tcPr>
            <w:tcW w:w="3408" w:type="dxa"/>
            <w:shd w:val="clear" w:color="auto" w:fill="183B5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06E854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7"/>
              </w:rPr>
              <w:t>Resultado evaluado</w:t>
            </w:r>
          </w:p>
        </w:tc>
        <w:tc>
          <w:tcPr>
            <w:tcW w:w="3408" w:type="dxa"/>
            <w:shd w:val="clear" w:color="auto" w:fill="183B5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0BAD91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7"/>
              </w:rPr>
              <w:t>Juicio global</w:t>
            </w:r>
          </w:p>
        </w:tc>
        <w:tc>
          <w:tcPr>
            <w:tcW w:w="3408" w:type="dxa"/>
            <w:shd w:val="clear" w:color="auto" w:fill="183B5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0E5F5A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7"/>
              </w:rPr>
              <w:t>Justificación</w:t>
            </w:r>
          </w:p>
        </w:tc>
      </w:tr>
      <w:tr w:rsidR="003B2231" w:rsidRPr="00C66A0E" w14:paraId="70EF9CFB" w14:textId="77777777">
        <w:trPr>
          <w:jc w:val="center"/>
        </w:trPr>
        <w:tc>
          <w:tcPr>
            <w:tcW w:w="367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82D041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7"/>
                <w:lang w:val="es-CO"/>
              </w:rPr>
              <w:t>Muerte cardiovascular y hospitalizaciones totales por insuficiencia cardíaca</w:t>
            </w:r>
          </w:p>
        </w:tc>
        <w:tc>
          <w:tcPr>
            <w:tcW w:w="1800" w:type="dxa"/>
            <w:shd w:val="clear" w:color="auto" w:fill="FFF2C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7C28CD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Moderado</w:t>
            </w:r>
          </w:p>
        </w:tc>
        <w:tc>
          <w:tcPr>
            <w:tcW w:w="52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361C7D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7"/>
                <w:lang w:val="es-CO"/>
              </w:rPr>
              <w:t>Ningún dominio se consideró con riesgo serio o crítico. Las preocupaciones principales fueron confusión residual, exposición basal no actualizada y ausencia de adjudicación independiente.</w:t>
            </w:r>
          </w:p>
        </w:tc>
      </w:tr>
      <w:tr w:rsidR="003B2231" w:rsidRPr="00C66A0E" w14:paraId="37720BAE" w14:textId="77777777">
        <w:trPr>
          <w:jc w:val="center"/>
        </w:trPr>
        <w:tc>
          <w:tcPr>
            <w:tcW w:w="367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664485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7"/>
                <w:lang w:val="es-CO"/>
              </w:rPr>
              <w:t>Exacerbaciones graves totales de EPOC</w:t>
            </w:r>
          </w:p>
        </w:tc>
        <w:tc>
          <w:tcPr>
            <w:tcW w:w="1800" w:type="dxa"/>
            <w:shd w:val="clear" w:color="auto" w:fill="FFF2C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5F6C1E" w14:textId="77777777" w:rsidR="003B2231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Moderado</w:t>
            </w:r>
          </w:p>
        </w:tc>
        <w:tc>
          <w:tcPr>
            <w:tcW w:w="52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C3B7E0" w14:textId="77777777" w:rsidR="003B2231" w:rsidRPr="00C66A0E" w:rsidRDefault="00000000">
            <w:pPr>
              <w:spacing w:after="0" w:line="252" w:lineRule="auto"/>
              <w:rPr>
                <w:lang w:val="es-CO"/>
              </w:rPr>
            </w:pPr>
            <w:r w:rsidRPr="00C66A0E">
              <w:rPr>
                <w:sz w:val="17"/>
                <w:lang w:val="es-CO"/>
              </w:rPr>
              <w:t>Comparte las preocupaciones sobre confusión y exposición variable en el tiempo. La medición mediante hospitalizaciones con diagnóstico respiratorio principal fue uniforme, pero no contó con adjudicación clínica independiente.</w:t>
            </w:r>
          </w:p>
        </w:tc>
      </w:tr>
    </w:tbl>
    <w:p w14:paraId="2BA3580F" w14:textId="5EF83F54" w:rsidR="003B2231" w:rsidRPr="00C66A0E" w:rsidRDefault="00000000">
      <w:pPr>
        <w:pStyle w:val="Ttulo1"/>
        <w:rPr>
          <w:lang w:val="es-CO"/>
        </w:rPr>
      </w:pPr>
      <w:r w:rsidRPr="00C66A0E">
        <w:rPr>
          <w:lang w:val="es-CO"/>
        </w:rPr>
        <w:t>5. Referencias</w:t>
      </w:r>
    </w:p>
    <w:p w14:paraId="34760719" w14:textId="77777777" w:rsidR="003B2231" w:rsidRDefault="00000000">
      <w:pPr>
        <w:ind w:left="288" w:hanging="288"/>
      </w:pPr>
      <w:r w:rsidRPr="00C66A0E">
        <w:rPr>
          <w:lang w:val="es-CO"/>
        </w:rPr>
        <w:t xml:space="preserve">1. Beer BN, Benson L, Basile C, et al. </w:t>
      </w:r>
      <w:r>
        <w:t>Beta-blockers in patients with heart failure with reduced ejection fraction and concomitant chronic obstructive pulmonary disease: cardiovascular and respiratory outcomes. Eur J Heart Fail. 2025;27(12):2858–2868. doi:10.1002/ejhf.70046.</w:t>
      </w:r>
    </w:p>
    <w:p w14:paraId="2EFB2725" w14:textId="77777777" w:rsidR="003B2231" w:rsidRDefault="00000000">
      <w:pPr>
        <w:ind w:left="288" w:hanging="288"/>
      </w:pPr>
      <w:r>
        <w:t>2. Sterne JAC, Hernán MA, Reeves BC, et al. ROBINS-I: a tool for assessing risk of bias in non-randomised studies of interventions. BMJ. 2016;355:i4919. doi:10.1136/bmj.i4919.</w:t>
      </w:r>
    </w:p>
    <w:sectPr w:rsidR="003B2231" w:rsidSect="00034616">
      <w:footerReference w:type="default" r:id="rId8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72F29" w14:textId="77777777" w:rsidR="00A42D6D" w:rsidRDefault="00A42D6D">
      <w:pPr>
        <w:spacing w:after="0" w:line="240" w:lineRule="auto"/>
      </w:pPr>
      <w:r>
        <w:separator/>
      </w:r>
    </w:p>
  </w:endnote>
  <w:endnote w:type="continuationSeparator" w:id="0">
    <w:p w14:paraId="3A106D8A" w14:textId="77777777" w:rsidR="00A42D6D" w:rsidRDefault="00A42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FDE6" w14:textId="77777777" w:rsidR="003B2231" w:rsidRPr="00C66A0E" w:rsidRDefault="00000000">
    <w:pPr>
      <w:pStyle w:val="Piedepgina"/>
      <w:jc w:val="center"/>
      <w:rPr>
        <w:lang w:val="es-CO"/>
      </w:rPr>
    </w:pPr>
    <w:r w:rsidRPr="00C66A0E">
      <w:rPr>
        <w:color w:val="646464"/>
        <w:sz w:val="16"/>
        <w:lang w:val="es-CO"/>
      </w:rPr>
      <w:t>Unidad de Síntesis y Transferencia de Conocimiento | Anexo metodológico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2057A" w14:textId="77777777" w:rsidR="00A42D6D" w:rsidRDefault="00A42D6D">
      <w:pPr>
        <w:spacing w:after="0" w:line="240" w:lineRule="auto"/>
      </w:pPr>
      <w:r>
        <w:separator/>
      </w:r>
    </w:p>
  </w:footnote>
  <w:footnote w:type="continuationSeparator" w:id="0">
    <w:p w14:paraId="25DBF611" w14:textId="77777777" w:rsidR="00A42D6D" w:rsidRDefault="00A42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5467745">
    <w:abstractNumId w:val="8"/>
  </w:num>
  <w:num w:numId="2" w16cid:durableId="1156805090">
    <w:abstractNumId w:val="6"/>
  </w:num>
  <w:num w:numId="3" w16cid:durableId="1793405759">
    <w:abstractNumId w:val="5"/>
  </w:num>
  <w:num w:numId="4" w16cid:durableId="1549877713">
    <w:abstractNumId w:val="4"/>
  </w:num>
  <w:num w:numId="5" w16cid:durableId="1298949069">
    <w:abstractNumId w:val="7"/>
  </w:num>
  <w:num w:numId="6" w16cid:durableId="279701">
    <w:abstractNumId w:val="3"/>
  </w:num>
  <w:num w:numId="7" w16cid:durableId="1619681057">
    <w:abstractNumId w:val="2"/>
  </w:num>
  <w:num w:numId="8" w16cid:durableId="753206734">
    <w:abstractNumId w:val="1"/>
  </w:num>
  <w:num w:numId="9" w16cid:durableId="168829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C3F"/>
    <w:rsid w:val="00034616"/>
    <w:rsid w:val="0006063C"/>
    <w:rsid w:val="0015074B"/>
    <w:rsid w:val="0029639D"/>
    <w:rsid w:val="00326F90"/>
    <w:rsid w:val="003B2231"/>
    <w:rsid w:val="00A42D6D"/>
    <w:rsid w:val="00AA1D8D"/>
    <w:rsid w:val="00B47730"/>
    <w:rsid w:val="00C66A0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89F6E6F"/>
  <w14:defaultImageDpi w14:val="300"/>
  <w15:docId w15:val="{23E1C9D6-2F4E-4ABE-B545-025DF407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83B56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7C91"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before="160" w:after="80" w:line="240" w:lineRule="auto"/>
      <w:contextualSpacing/>
    </w:pPr>
    <w:rPr>
      <w:rFonts w:asciiTheme="majorHAnsi" w:eastAsiaTheme="majorEastAsia" w:hAnsiTheme="majorHAnsi" w:cstheme="majorBidi"/>
      <w:b/>
      <w:color w:val="183B56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David Cruz Cuevas</dc:creator>
  <cp:keywords/>
  <dc:description>generated by python-docx</dc:description>
  <cp:lastModifiedBy>Jose David Cruz Cuevas</cp:lastModifiedBy>
  <cp:revision>2</cp:revision>
  <dcterms:created xsi:type="dcterms:W3CDTF">2026-08-13T05:07:00Z</dcterms:created>
  <dcterms:modified xsi:type="dcterms:W3CDTF">2026-08-13T05:09:00Z</dcterms:modified>
  <cp:category/>
</cp:coreProperties>
</file>